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MECATRÓNICA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b w:val="1"/>
          <w:rtl w:val="0"/>
        </w:rPr>
        <w:t xml:space="preserve"> de la carrera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Ingeniería Mecatrónica en una carrera diseñada para desarrollar soluciones integrales, con el uso tecnologías y sistemas de última generación. Permite crear aplicaciones en sistemas robóticos, mecánicos, de automatización y control, para atender las necesidades profesionales en las áreas de: mantenimiento, implantación de sistemas, productos y procesos mecatrónicos, con el fin de innovar, mejorar e impulsar el desarrollo tecnológico regional y nacional en los distintos sectores a favor de la sociedad y el medio ambiente.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4p8yzQtA/ASPv6iGdf3Q41gyzQ==">CgMxLjA4AHIhMVNZSTZoMlNLTXhiY0RfbFZfdHZEV1dBV29XUFhDZmFB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2025-01-20T18:46:00Z</dcterms:created>
  <dc:creator>USUARIO</dc:creator>
</cp:coreProperties>
</file>