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INGENIERÍA EN SISTEMAS COMPUTACIONALES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Perfil de Ingreso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El aspirante a ingresar a la carrera de Ingeniería en Sistemas Computacionales debe poseer una sólida base en matemáticas y lógica, ya que estas disciplinas son esenciales para el desarrollo de algoritmos, programación y la resolución de problemas complejos. Es fundamental que el estudiante tenga un fuerte interés en la tecnología, la informática y la automatización de procesos, así como una actitud proactiva frente a los desafíos tecnológicos.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El futuro ingeniero debe contar con habilidades de análisis, creatividad y pensamiento crítico, que le permitan diseñar y optimizar sistemas informáticos. También es importante que tenga capacidad para trabajar en equipo, comunicarse de manera efectiva y adaptarse a los rápidos avances tecnológicos que caracterizan al campo de las tecnologías de la información.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576C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E576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EE57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OyRIdzDcHIvl2+oTftXa9k3XQ==">CgMxLjA4AHIhMW5zSkphUWJldGZiS2NXV2JFVXFxNG41LThiYkdabkJI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2025-01-20T19:01:00Z</dcterms:created>
  <dc:creator>USUARIO</dc:creator>
</cp:coreProperties>
</file>